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977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778"/>
      </w:tblGrid>
      <w:tr>
        <w:trPr/>
        <w:tc>
          <w:tcPr>
            <w:tcW w:w="9778" w:type="dxa"/>
            <w:tcBorders/>
          </w:tcPr>
          <w:p>
            <w:pPr>
              <w:pStyle w:val="Normal"/>
              <w:widowControl w:val="false"/>
              <w:spacing w:lineRule="exact" w:line="221" w:before="0" w:after="0"/>
              <w:jc w:val="start"/>
              <w:rPr>
                <w:rFonts w:ascii="Calibri" w:hAnsi="Calibri"/>
                <w:b/>
                <w:color w:val="4F81BD"/>
              </w:rPr>
            </w:pPr>
            <w:r>
              <w:rPr>
                <w:rFonts w:eastAsia="Calibri" w:cs="" w:ascii="Calibri" w:hAnsi="Calibri"/>
                <w:b/>
                <w:color w:val="4F81BD"/>
                <w:kern w:val="0"/>
                <w:sz w:val="22"/>
                <w:szCs w:val="22"/>
                <w:lang w:val="it-IT" w:eastAsia="en-US" w:bidi="ar-SA"/>
              </w:rPr>
              <w:t>DENOMINAZIONE:</w:t>
            </w:r>
          </w:p>
          <w:p>
            <w:pPr>
              <w:pStyle w:val="Normal"/>
              <w:widowControl w:val="false"/>
              <w:spacing w:lineRule="exact" w:line="221" w:before="0" w:after="0"/>
              <w:jc w:val="start"/>
              <w:rPr>
                <w:rFonts w:ascii="Calibri" w:hAnsi="Calibri"/>
                <w:b/>
                <w:color w:val="4F81BD"/>
              </w:rPr>
            </w:pPr>
            <w:r>
              <w:rPr>
                <w:rFonts w:eastAsia="Calibri" w:cs="" w:ascii="Calibri" w:hAnsi="Calibri"/>
                <w:kern w:val="0"/>
                <w:sz w:val="22"/>
                <w:szCs w:val="22"/>
                <w:lang w:val="it-IT" w:eastAsia="en-US" w:bidi="ar-SA"/>
              </w:rPr>
              <w:t>GESTIONE RISORSE UMANE</w:t>
            </w:r>
          </w:p>
        </w:tc>
      </w:tr>
      <w:tr>
        <w:trPr/>
        <w:tc>
          <w:tcPr>
            <w:tcW w:w="9778" w:type="dxa"/>
            <w:tcBorders/>
          </w:tcPr>
          <w:p>
            <w:pPr>
              <w:pStyle w:val="Normal"/>
              <w:widowControl w:val="false"/>
              <w:spacing w:lineRule="exact" w:line="221" w:before="0" w:after="0"/>
              <w:jc w:val="start"/>
              <w:rPr>
                <w:rFonts w:ascii="Calibri" w:hAnsi="Calibri"/>
                <w:b/>
                <w:color w:val="4F81BD"/>
              </w:rPr>
            </w:pPr>
            <w:r>
              <w:rPr>
                <w:rFonts w:eastAsia="Calibri" w:cs="" w:ascii="Calibri" w:hAnsi="Calibri"/>
                <w:b/>
                <w:color w:val="4F81BD"/>
                <w:kern w:val="0"/>
                <w:sz w:val="22"/>
                <w:szCs w:val="22"/>
                <w:lang w:val="it-IT" w:eastAsia="en-US" w:bidi="ar-SA"/>
              </w:rPr>
              <w:t>LIVELLO ORGANIZZATIVO:</w:t>
            </w:r>
          </w:p>
          <w:p>
            <w:pPr>
              <w:pStyle w:val="Normal"/>
              <w:widowControl w:val="false"/>
              <w:spacing w:lineRule="exact" w:line="221" w:before="0" w:after="0"/>
              <w:jc w:val="start"/>
              <w:rPr>
                <w:rFonts w:ascii="Calibri" w:hAnsi="Calibri"/>
              </w:rPr>
            </w:pPr>
            <w:r>
              <w:rPr>
                <w:rFonts w:eastAsia="Calibri" w:cs="" w:ascii="Calibri" w:hAnsi="Calibri"/>
                <w:kern w:val="0"/>
                <w:sz w:val="22"/>
                <w:szCs w:val="22"/>
                <w:lang w:val="it-IT" w:eastAsia="en-US" w:bidi="ar-SA"/>
              </w:rPr>
              <w:t>STRUTTURA COMPLESSA</w:t>
            </w:r>
          </w:p>
          <w:p>
            <w:pPr>
              <w:pStyle w:val="Normal"/>
              <w:widowControl w:val="false"/>
              <w:spacing w:lineRule="exact" w:line="221" w:before="0" w:after="0"/>
              <w:jc w:val="start"/>
              <w:rPr>
                <w:rFonts w:ascii="Calibri" w:hAnsi="Calibri"/>
                <w:b/>
                <w:color w:val="4F81BD"/>
              </w:rPr>
            </w:pPr>
            <w:r>
              <w:rPr>
                <w:rFonts w:eastAsia="Calibri" w:cs="" w:ascii="Calibri" w:hAnsi="Calibri"/>
                <w:b/>
                <w:color w:val="4F81BD"/>
                <w:kern w:val="0"/>
                <w:sz w:val="22"/>
                <w:szCs w:val="22"/>
                <w:lang w:val="it-IT" w:eastAsia="en-US" w:bidi="ar-SA"/>
              </w:rPr>
            </w:r>
          </w:p>
        </w:tc>
      </w:tr>
      <w:tr>
        <w:trPr/>
        <w:tc>
          <w:tcPr>
            <w:tcW w:w="9778" w:type="dxa"/>
            <w:tcBorders/>
          </w:tcPr>
          <w:p>
            <w:pPr>
              <w:pStyle w:val="Normal"/>
              <w:widowControl w:val="false"/>
              <w:spacing w:lineRule="exact" w:line="221" w:before="0" w:after="0"/>
              <w:jc w:val="start"/>
              <w:rPr>
                <w:rFonts w:ascii="Calibri" w:hAnsi="Calibri"/>
                <w:b/>
                <w:color w:val="000000"/>
              </w:rPr>
            </w:pPr>
            <w:r>
              <w:rPr>
                <w:rFonts w:eastAsia="Calibri" w:cs="" w:ascii="Calibri" w:hAnsi="Calibri"/>
                <w:b/>
                <w:color w:val="4F81BD"/>
                <w:kern w:val="0"/>
                <w:sz w:val="22"/>
                <w:szCs w:val="22"/>
                <w:lang w:val="it-IT" w:eastAsia="en-US" w:bidi="ar-SA"/>
              </w:rPr>
              <w:t>LIVELLO</w:t>
            </w:r>
            <w:r>
              <w:rPr>
                <w:rFonts w:eastAsia="Calibri" w:cs="" w:ascii="Calibri" w:hAnsi="Calibri"/>
                <w:b/>
                <w:color w:val="4F81BD"/>
                <w:spacing w:val="-2"/>
                <w:kern w:val="0"/>
                <w:sz w:val="22"/>
                <w:szCs w:val="22"/>
                <w:lang w:val="it-IT" w:eastAsia="en-US" w:bidi="ar-SA"/>
              </w:rPr>
              <w:t xml:space="preserve"> </w:t>
            </w:r>
            <w:r>
              <w:rPr>
                <w:rFonts w:eastAsia="Calibri" w:cs="" w:ascii="Calibri" w:hAnsi="Calibri"/>
                <w:b/>
                <w:color w:val="4F81BD"/>
                <w:kern w:val="0"/>
                <w:sz w:val="22"/>
                <w:szCs w:val="22"/>
                <w:lang w:val="it-IT" w:eastAsia="en-US" w:bidi="ar-SA"/>
              </w:rPr>
              <w:t>GERARCHICO</w:t>
            </w:r>
            <w:r>
              <w:rPr>
                <w:rFonts w:eastAsia="Calibri" w:cs="" w:ascii="Calibri" w:hAnsi="Calibri"/>
                <w:b/>
                <w:color w:val="4F81BD"/>
                <w:spacing w:val="-2"/>
                <w:kern w:val="0"/>
                <w:sz w:val="22"/>
                <w:szCs w:val="22"/>
                <w:lang w:val="it-IT" w:eastAsia="en-US" w:bidi="ar-SA"/>
              </w:rPr>
              <w:t xml:space="preserve"> </w:t>
            </w:r>
            <w:r>
              <w:rPr>
                <w:rFonts w:eastAsia="Calibri" w:cs="" w:ascii="Calibri" w:hAnsi="Calibri"/>
                <w:b/>
                <w:color w:val="4F81BD"/>
                <w:kern w:val="0"/>
                <w:sz w:val="22"/>
                <w:szCs w:val="22"/>
                <w:lang w:val="it-IT" w:eastAsia="en-US" w:bidi="ar-SA"/>
              </w:rPr>
              <w:t>SUPERIORE:</w:t>
            </w:r>
          </w:p>
          <w:p>
            <w:pPr>
              <w:pStyle w:val="Normal"/>
              <w:widowControl/>
              <w:spacing w:lineRule="auto" w:line="240" w:before="0" w:after="0"/>
              <w:jc w:val="start"/>
              <w:rPr>
                <w:rFonts w:ascii="Calibri" w:hAnsi="Calibri" w:eastAsia="Calibri" w:cs=""/>
                <w:kern w:val="0"/>
                <w:sz w:val="22"/>
                <w:szCs w:val="22"/>
                <w:lang w:val="it-IT" w:eastAsia="en-US" w:bidi="ar-SA"/>
              </w:rPr>
            </w:pPr>
            <w:r>
              <w:rPr>
                <w:rFonts w:eastAsia="Calibri" w:cs=""/>
                <w:kern w:val="0"/>
                <w:sz w:val="22"/>
                <w:szCs w:val="22"/>
                <w:lang w:val="it-IT" w:eastAsia="en-US" w:bidi="ar-SA"/>
              </w:rPr>
              <w:t>DIPARTIMENTO TECNICO AMMINISTRATIVO</w:t>
            </w:r>
          </w:p>
        </w:tc>
      </w:tr>
      <w:tr>
        <w:trPr/>
        <w:tc>
          <w:tcPr>
            <w:tcW w:w="9778" w:type="dxa"/>
            <w:tcBorders/>
          </w:tcPr>
          <w:p>
            <w:pPr>
              <w:pStyle w:val="Normal"/>
              <w:widowControl w:val="false"/>
              <w:spacing w:lineRule="exact" w:line="221" w:before="0" w:after="0"/>
              <w:jc w:val="start"/>
              <w:rPr>
                <w:rFonts w:ascii="Calibri" w:hAnsi="Calibri"/>
                <w:b/>
                <w:color w:val="4F81BD"/>
              </w:rPr>
            </w:pPr>
            <w:r>
              <w:rPr>
                <w:rFonts w:eastAsia="Calibri" w:cs="" w:ascii="Calibri" w:hAnsi="Calibri"/>
                <w:b/>
                <w:color w:val="4F81BD"/>
                <w:kern w:val="0"/>
                <w:sz w:val="22"/>
                <w:szCs w:val="22"/>
                <w:lang w:val="it-IT" w:eastAsia="en-US" w:bidi="ar-SA"/>
              </w:rPr>
              <w:t>MISSION:</w:t>
            </w:r>
          </w:p>
          <w:p>
            <w:pPr>
              <w:pStyle w:val="Normal"/>
              <w:widowControl w:val="false"/>
              <w:spacing w:lineRule="exact" w:line="221" w:before="0" w:after="0"/>
              <w:jc w:val="start"/>
              <w:rPr>
                <w:rFonts w:ascii="Calibri" w:hAnsi="Calibri"/>
                <w:b/>
                <w:color w:val="4F81BD"/>
              </w:rPr>
            </w:pPr>
            <w:r>
              <w:rPr>
                <w:rFonts w:eastAsia="Calibri" w:cs="" w:ascii="Calibri" w:hAnsi="Calibri"/>
                <w:b/>
                <w:color w:val="4F81BD"/>
                <w:kern w:val="0"/>
                <w:sz w:val="22"/>
                <w:szCs w:val="22"/>
                <w:lang w:val="it-IT" w:eastAsia="en-US" w:bidi="ar-SA"/>
              </w:rPr>
            </w:r>
          </w:p>
          <w:p>
            <w:pPr>
              <w:pStyle w:val="Normal"/>
              <w:widowControl w:val="false"/>
              <w:spacing w:lineRule="exact" w:line="221" w:before="0" w:after="0"/>
              <w:jc w:val="both"/>
              <w:rPr>
                <w:rFonts w:ascii="Calibri" w:hAnsi="Calibri" w:eastAsia="" w:eastAsiaTheme="minorEastAsia"/>
                <w:color w:val="000000"/>
              </w:rPr>
            </w:pPr>
            <w:r>
              <w:rPr>
                <w:rFonts w:eastAsia="Calibri" w:cs="" w:ascii="Calibri" w:hAnsi="Calibri"/>
                <w:kern w:val="0"/>
                <w:sz w:val="22"/>
                <w:szCs w:val="22"/>
                <w:lang w:val="it-IT" w:eastAsia="en-US" w:bidi="ar-SA"/>
              </w:rPr>
              <w:t>La S.C. Gestione Risorse Umane è la struttura deputata istituzionalmente alla pianificazione, reclutamento e gestione delle risorse umane e all’applicazione di tutti gli istituti giuridici ed economici relativi all’instaurazione/gestione/risoluzione del rapporto di lavoro, sia del personale dipendente che del personale con contratti di collaborazione a vario titolo.</w:t>
            </w:r>
          </w:p>
        </w:tc>
      </w:tr>
      <w:tr>
        <w:trPr/>
        <w:tc>
          <w:tcPr>
            <w:tcW w:w="9778" w:type="dxa"/>
            <w:tcBorders/>
          </w:tcPr>
          <w:p>
            <w:pPr>
              <w:pStyle w:val="Normal"/>
              <w:widowControl/>
              <w:spacing w:lineRule="auto" w:line="240" w:before="0" w:after="0"/>
              <w:jc w:val="both"/>
              <w:rPr>
                <w:rFonts w:ascii="Calibri" w:hAnsi="Calibri"/>
                <w:b/>
                <w:color w:val="4F81BD"/>
              </w:rPr>
            </w:pPr>
            <w:r>
              <w:rPr>
                <w:rFonts w:eastAsia="Calibri" w:cs="" w:ascii="Calibri" w:hAnsi="Calibri"/>
                <w:b/>
                <w:color w:val="4F81BD"/>
                <w:kern w:val="0"/>
                <w:sz w:val="22"/>
                <w:szCs w:val="22"/>
                <w:lang w:val="it-IT" w:eastAsia="en-US" w:bidi="ar-SA"/>
              </w:rPr>
              <w:t>FUNZIONI:</w:t>
            </w:r>
          </w:p>
          <w:p>
            <w:pPr>
              <w:pStyle w:val="Normal"/>
              <w:widowControl/>
              <w:spacing w:lineRule="auto" w:line="240" w:before="0" w:after="0"/>
              <w:jc w:val="both"/>
              <w:rPr>
                <w:rFonts w:ascii="Calibri" w:hAnsi="Calibri"/>
                <w:b/>
                <w:color w:val="4F81BD"/>
              </w:rPr>
            </w:pPr>
            <w:r>
              <w:rPr>
                <w:rFonts w:eastAsia="Calibri" w:cs="" w:ascii="Calibri" w:hAnsi="Calibri"/>
                <w:b/>
                <w:color w:val="4F81BD"/>
                <w:kern w:val="0"/>
                <w:sz w:val="22"/>
                <w:szCs w:val="22"/>
                <w:lang w:val="it-IT" w:eastAsia="en-US" w:bidi="ar-SA"/>
              </w:rPr>
            </w:r>
          </w:p>
          <w:p>
            <w:pPr>
              <w:pStyle w:val="Normal"/>
              <w:widowControl/>
              <w:tabs>
                <w:tab w:val="clear" w:pos="708"/>
                <w:tab w:val="left" w:pos="5330" w:leader="none"/>
              </w:tabs>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t>Tra i compiti della struttura rientrano, in particolare:</w:t>
            </w:r>
          </w:p>
          <w:p>
            <w:pPr>
              <w:pStyle w:val="Normal"/>
              <w:widowControl/>
              <w:tabs>
                <w:tab w:val="clear" w:pos="708"/>
                <w:tab w:val="left" w:pos="5330" w:leader="none"/>
              </w:tabs>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rmal"/>
              <w:widowControl/>
              <w:tabs>
                <w:tab w:val="clear" w:pos="708"/>
                <w:tab w:val="left" w:pos="5330" w:leader="none"/>
              </w:tabs>
              <w:spacing w:lineRule="auto" w:line="240" w:before="0" w:after="0"/>
              <w:jc w:val="both"/>
              <w:rPr>
                <w:b/>
                <w:u w:val="single"/>
              </w:rPr>
            </w:pPr>
            <w:r>
              <w:rPr>
                <w:rFonts w:eastAsia="Calibri" w:cs=""/>
                <w:b/>
                <w:kern w:val="0"/>
                <w:sz w:val="22"/>
                <w:szCs w:val="22"/>
                <w:u w:val="single"/>
                <w:lang w:val="it-IT" w:eastAsia="en-US" w:bidi="ar-SA"/>
              </w:rPr>
              <w:t>SETTORE PROGRAMMAZIONE E RECLUTAMENTO PERSONALE</w:t>
            </w:r>
          </w:p>
          <w:p>
            <w:pPr>
              <w:pStyle w:val="Normal"/>
              <w:widowControl/>
              <w:tabs>
                <w:tab w:val="clear" w:pos="708"/>
                <w:tab w:val="left" w:pos="5330" w:leader="none"/>
              </w:tabs>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r>
          </w:p>
          <w:p>
            <w:pPr>
              <w:pStyle w:val="NoSpacing"/>
              <w:numPr>
                <w:ilvl w:val="0"/>
                <w:numId w:val="2"/>
              </w:numPr>
              <w:spacing w:before="0" w:after="0"/>
              <w:jc w:val="both"/>
              <w:rPr>
                <w:lang w:val="it-IT"/>
              </w:rPr>
            </w:pPr>
            <w:r>
              <w:rPr>
                <w:rFonts w:eastAsia="Calibri" w:cs=""/>
                <w:kern w:val="0"/>
                <w:sz w:val="22"/>
                <w:szCs w:val="22"/>
                <w:lang w:val="it-IT" w:eastAsia="en-US" w:bidi="ar-SA"/>
              </w:rPr>
              <w:t>Verifica i fabbisogni di risorse umane in ambito aziendale , ne cura la programmazione  attraverso la predisposizione del Piano Triennale del fabbisogno di personale (PTFP) annualmente aggiornato</w:t>
            </w:r>
          </w:p>
          <w:p>
            <w:pPr>
              <w:pStyle w:val="NoSpacing"/>
              <w:numPr>
                <w:ilvl w:val="0"/>
                <w:numId w:val="2"/>
              </w:numPr>
              <w:spacing w:before="0" w:after="0"/>
              <w:jc w:val="both"/>
              <w:rPr>
                <w:lang w:val="it-IT"/>
              </w:rPr>
            </w:pPr>
            <w:r>
              <w:rPr>
                <w:rFonts w:eastAsia="Calibri" w:cs=""/>
                <w:kern w:val="0"/>
                <w:sz w:val="22"/>
                <w:szCs w:val="22"/>
                <w:lang w:val="it-IT" w:eastAsia="en-US" w:bidi="ar-SA"/>
              </w:rPr>
              <w:t>Garantisce la regolare e corretta attuazione dei programmi assunzionali in modo conforme alle strategie e agli indirizzi gestionali espressi dalla Direzione Aziendale</w:t>
            </w:r>
          </w:p>
          <w:p>
            <w:pPr>
              <w:pStyle w:val="NoSpacing"/>
              <w:numPr>
                <w:ilvl w:val="0"/>
                <w:numId w:val="2"/>
              </w:numPr>
              <w:spacing w:before="0" w:after="0"/>
              <w:jc w:val="both"/>
              <w:rPr>
                <w:lang w:val="it-IT"/>
              </w:rPr>
            </w:pPr>
            <w:r>
              <w:rPr>
                <w:rFonts w:eastAsia="Calibri" w:cs=""/>
                <w:kern w:val="0"/>
                <w:sz w:val="22"/>
                <w:szCs w:val="22"/>
                <w:lang w:val="it-IT" w:eastAsia="en-US" w:bidi="ar-SA"/>
              </w:rPr>
              <w:t>Emana e gestisce le procedure selettive e concorsuali per il reclutamento del personale di qualunque tipologia ( Avvisi Strutture Complesse,concorsi a tempo indeterminato, determinato, L.68/99 per categorie protette, bandi Centro Impiego, Co.Li.Pro, Co.Co.Co,mobilità,stabilizzazioni, borse di studio etc…) per l'acquisizione delle risorse umane indicate nel Piano Triennale, valutando di volta in volta le soluzioni e le procedure più idonee alle specifiche necessità e priorità rappresentate dalla Direzione;</w:t>
            </w:r>
          </w:p>
          <w:p>
            <w:pPr>
              <w:pStyle w:val="NoSpacing"/>
              <w:numPr>
                <w:ilvl w:val="0"/>
                <w:numId w:val="2"/>
              </w:numPr>
              <w:spacing w:before="0" w:after="0"/>
              <w:jc w:val="both"/>
              <w:rPr>
                <w:lang w:val="it-IT"/>
              </w:rPr>
            </w:pPr>
            <w:r>
              <w:rPr>
                <w:rFonts w:eastAsia="Calibri" w:cs=""/>
                <w:kern w:val="0"/>
                <w:sz w:val="22"/>
                <w:szCs w:val="22"/>
                <w:lang w:val="it-IT" w:eastAsia="en-US" w:bidi="ar-SA"/>
              </w:rPr>
              <w:t>Gestisce la fase assunzionale dei dipendenti con tutte le procedure connesse e la stipula dei contratti individuali di lavoro ;</w:t>
            </w:r>
          </w:p>
          <w:p>
            <w:pPr>
              <w:pStyle w:val="NoSpacing"/>
              <w:numPr>
                <w:ilvl w:val="0"/>
                <w:numId w:val="2"/>
              </w:numPr>
              <w:spacing w:before="0" w:after="0"/>
              <w:jc w:val="both"/>
              <w:rPr>
                <w:lang w:val="it-IT"/>
              </w:rPr>
            </w:pPr>
            <w:r>
              <w:rPr>
                <w:rFonts w:eastAsia="Calibri" w:cs=""/>
                <w:kern w:val="0"/>
                <w:sz w:val="22"/>
                <w:szCs w:val="22"/>
                <w:lang w:val="it-IT" w:eastAsia="en-US" w:bidi="ar-SA"/>
              </w:rPr>
              <w:t>Tiene i rapporti con Regione Liguria, Alisa e altre AASSLL per la gestione condivisa delle graduatorie  e dei concorsi unificati nell’ottica dell’efficienza, economicità e snellimento delle procedure assunzionali;</w:t>
            </w:r>
          </w:p>
          <w:p>
            <w:pPr>
              <w:pStyle w:val="NoSpacing"/>
              <w:numPr>
                <w:ilvl w:val="0"/>
                <w:numId w:val="2"/>
              </w:numPr>
              <w:spacing w:before="0" w:after="0"/>
              <w:jc w:val="both"/>
              <w:rPr>
                <w:lang w:val="it-IT"/>
              </w:rPr>
            </w:pPr>
            <w:r>
              <w:rPr>
                <w:rFonts w:eastAsia="Calibri" w:cs=""/>
                <w:kern w:val="0"/>
                <w:sz w:val="22"/>
                <w:szCs w:val="22"/>
                <w:lang w:val="it-IT" w:eastAsia="en-US" w:bidi="ar-SA"/>
              </w:rPr>
              <w:t>Monitora i processi assunzionali in relazione alle cessazioni al fine di garantire il rispetto del tetto di spesa per il personale fissato annualmente da Regione Liguria;</w:t>
            </w:r>
          </w:p>
          <w:p>
            <w:pPr>
              <w:pStyle w:val="NoSpacing"/>
              <w:numPr>
                <w:ilvl w:val="0"/>
                <w:numId w:val="2"/>
              </w:numPr>
              <w:spacing w:before="0" w:after="0"/>
              <w:jc w:val="both"/>
              <w:rPr>
                <w:lang w:val="it-IT"/>
              </w:rPr>
            </w:pPr>
            <w:r>
              <w:rPr>
                <w:rFonts w:eastAsia="Calibri" w:cs=""/>
                <w:kern w:val="0"/>
                <w:sz w:val="22"/>
                <w:szCs w:val="22"/>
                <w:lang w:val="it-IT" w:eastAsia="en-US" w:bidi="ar-SA"/>
              </w:rPr>
              <w:t>Predispone i flussi informativi relativi alle dotazioni organiche  e il debito informativo per regione, Ministeri, MEF ( Conto annuale parte giuridica, ruoli regionali del personale, monitoraggi trimestrali su personale presente, incarichi , colipro etc…)</w:t>
            </w:r>
          </w:p>
          <w:p>
            <w:pPr>
              <w:pStyle w:val="NoSpacing"/>
              <w:numPr>
                <w:ilvl w:val="0"/>
                <w:numId w:val="2"/>
              </w:numPr>
              <w:spacing w:before="0" w:after="0"/>
              <w:jc w:val="both"/>
              <w:rPr>
                <w:lang w:val="it-IT"/>
              </w:rPr>
            </w:pPr>
            <w:r>
              <w:rPr>
                <w:rFonts w:eastAsia="Calibri" w:cs=""/>
                <w:kern w:val="0"/>
                <w:sz w:val="22"/>
                <w:szCs w:val="22"/>
                <w:lang w:val="it-IT" w:eastAsia="en-US" w:bidi="ar-SA"/>
              </w:rPr>
              <w:t>Gestisce tutte le procedure relative a tirocini di formazione e orientamento, frequenze volontarie, incarichi gratuiti, frequenza specializzandi</w:t>
            </w:r>
          </w:p>
          <w:p>
            <w:pPr>
              <w:pStyle w:val="NoSpacing"/>
              <w:numPr>
                <w:ilvl w:val="0"/>
                <w:numId w:val="2"/>
              </w:numPr>
              <w:spacing w:before="0" w:after="0"/>
              <w:jc w:val="both"/>
              <w:rPr>
                <w:lang w:val="it-IT"/>
              </w:rPr>
            </w:pPr>
            <w:r>
              <w:rPr>
                <w:rFonts w:eastAsia="Calibri" w:cs=""/>
                <w:kern w:val="0"/>
                <w:sz w:val="22"/>
                <w:szCs w:val="22"/>
                <w:lang w:val="it-IT" w:eastAsia="en-US" w:bidi="ar-SA"/>
              </w:rPr>
              <w:t>Gestisce il contenzioso relativo alle procedure concorsuali predisponendo, in collaborazione con i legali, la difesa dell’Azienda e cura le richieste di accesso ai documenti concorsuali.</w:t>
            </w:r>
          </w:p>
          <w:p>
            <w:pPr>
              <w:pStyle w:val="NoSpacing"/>
              <w:spacing w:before="0" w:after="0"/>
              <w:ind w:start="360"/>
              <w:jc w:val="both"/>
              <w:rPr>
                <w:lang w:val="it-IT"/>
              </w:rPr>
            </w:pPr>
            <w:r>
              <w:rPr>
                <w:rFonts w:eastAsia="Calibri" w:cs=""/>
                <w:kern w:val="0"/>
                <w:sz w:val="22"/>
                <w:szCs w:val="22"/>
                <w:lang w:val="it-IT" w:eastAsia="en-US" w:bidi="ar-SA"/>
              </w:rPr>
            </w:r>
          </w:p>
          <w:p>
            <w:pPr>
              <w:pStyle w:val="Normal"/>
              <w:widowControl/>
              <w:tabs>
                <w:tab w:val="clear" w:pos="708"/>
                <w:tab w:val="left" w:pos="5330" w:leader="none"/>
              </w:tabs>
              <w:spacing w:lineRule="auto" w:line="240" w:before="0" w:after="0"/>
              <w:jc w:val="both"/>
              <w:rPr>
                <w:b/>
                <w:u w:val="single"/>
              </w:rPr>
            </w:pPr>
            <w:r>
              <w:rPr>
                <w:rFonts w:eastAsia="Calibri" w:cs=""/>
                <w:b/>
                <w:kern w:val="0"/>
                <w:sz w:val="22"/>
                <w:szCs w:val="22"/>
                <w:u w:val="single"/>
                <w:lang w:val="it-IT" w:eastAsia="en-US" w:bidi="ar-SA"/>
              </w:rPr>
              <w:t>SETTORE GIURIDICO: ORGANIZZAZIONE E SVILUPPO RISORSE UMANE</w:t>
            </w:r>
          </w:p>
          <w:p>
            <w:pPr>
              <w:pStyle w:val="NoSpacing"/>
              <w:spacing w:before="0" w:after="0"/>
              <w:ind w:start="360"/>
              <w:jc w:val="both"/>
              <w:rPr>
                <w:lang w:val="it-IT"/>
              </w:rPr>
            </w:pPr>
            <w:r>
              <w:rPr>
                <w:rFonts w:eastAsia="Calibri" w:cs=""/>
                <w:kern w:val="0"/>
                <w:sz w:val="22"/>
                <w:szCs w:val="22"/>
                <w:lang w:val="it-IT" w:eastAsia="en-US" w:bidi="ar-SA"/>
              </w:rPr>
            </w:r>
          </w:p>
          <w:p>
            <w:pPr>
              <w:pStyle w:val="NoSpacing"/>
              <w:numPr>
                <w:ilvl w:val="0"/>
                <w:numId w:val="2"/>
              </w:numPr>
              <w:spacing w:before="0" w:after="0"/>
              <w:jc w:val="both"/>
              <w:rPr>
                <w:lang w:val="it-IT"/>
              </w:rPr>
            </w:pPr>
            <w:r>
              <w:rPr>
                <w:rFonts w:eastAsia="Calibri" w:cs=""/>
                <w:kern w:val="0"/>
                <w:sz w:val="22"/>
                <w:szCs w:val="22"/>
                <w:lang w:val="it-IT" w:eastAsia="en-US" w:bidi="ar-SA"/>
              </w:rPr>
              <w:t>Cura l’applicazione dei rinnovi contrattuali e delle norme regolanti il rapporto di lavoro del personale, sotto il profilo giuridico , per tutta la sua durata fino alla cessazione dal servizio ;</w:t>
            </w:r>
          </w:p>
          <w:p>
            <w:pPr>
              <w:pStyle w:val="NoSpacing"/>
              <w:numPr>
                <w:ilvl w:val="0"/>
                <w:numId w:val="2"/>
              </w:numPr>
              <w:spacing w:before="0" w:after="0"/>
              <w:jc w:val="start"/>
              <w:rPr>
                <w:lang w:val="it-IT"/>
              </w:rPr>
            </w:pPr>
            <w:r>
              <w:rPr>
                <w:rFonts w:eastAsia="Calibri" w:cs=""/>
                <w:kern w:val="0"/>
                <w:sz w:val="22"/>
                <w:szCs w:val="22"/>
                <w:lang w:val="it-IT" w:eastAsia="en-US" w:bidi="ar-SA"/>
              </w:rPr>
              <w:t>Emana circolari e note esplicative indirizzate al personale dipendente inerenti novità contrattuali e normative in materia di rapporto di lavoro;</w:t>
            </w:r>
          </w:p>
          <w:p>
            <w:pPr>
              <w:pStyle w:val="NoSpacing"/>
              <w:numPr>
                <w:ilvl w:val="0"/>
                <w:numId w:val="2"/>
              </w:numPr>
              <w:spacing w:before="0" w:after="0"/>
              <w:jc w:val="start"/>
              <w:rPr>
                <w:lang w:val="it-IT"/>
              </w:rPr>
            </w:pPr>
            <w:r>
              <w:rPr>
                <w:rFonts w:eastAsia="Calibri" w:cs=""/>
                <w:kern w:val="0"/>
                <w:sz w:val="22"/>
                <w:szCs w:val="22"/>
                <w:lang w:val="it-IT" w:eastAsia="en-US" w:bidi="ar-SA"/>
              </w:rPr>
              <w:t>Gestisce e coordina l’applicazione dei processi di valutazione periodica del personale;</w:t>
            </w:r>
          </w:p>
          <w:p>
            <w:pPr>
              <w:pStyle w:val="NoSpacing"/>
              <w:numPr>
                <w:ilvl w:val="0"/>
                <w:numId w:val="2"/>
              </w:numPr>
              <w:spacing w:before="0" w:after="0"/>
              <w:jc w:val="both"/>
              <w:rPr>
                <w:lang w:val="it-IT"/>
              </w:rPr>
            </w:pPr>
            <w:r>
              <w:rPr>
                <w:rFonts w:eastAsia="Calibri" w:cs=""/>
                <w:kern w:val="0"/>
                <w:sz w:val="22"/>
                <w:szCs w:val="22"/>
                <w:lang w:val="it-IT" w:eastAsia="en-US" w:bidi="ar-SA"/>
              </w:rPr>
              <w:t>Emana e gestisce le procedure selettive interne per il conferimento degli incarichi dirigenziali e degli incarichi del comparto, predisponendo i regolamenti aziendali in materia ed i relativi bandi;</w:t>
            </w:r>
          </w:p>
          <w:p>
            <w:pPr>
              <w:pStyle w:val="NoSpacing"/>
              <w:numPr>
                <w:ilvl w:val="0"/>
                <w:numId w:val="2"/>
              </w:numPr>
              <w:spacing w:before="0" w:after="0"/>
              <w:jc w:val="both"/>
              <w:rPr>
                <w:lang w:val="it-IT"/>
              </w:rPr>
            </w:pPr>
            <w:r>
              <w:rPr>
                <w:rFonts w:eastAsia="Calibri" w:cs=""/>
                <w:kern w:val="0"/>
                <w:sz w:val="22"/>
                <w:szCs w:val="22"/>
                <w:lang w:val="it-IT" w:eastAsia="en-US" w:bidi="ar-SA"/>
              </w:rPr>
              <w:t>Gestisce tutte le procedure connesse al conferimento degli incarichi interni ed al loro rinnovo, inclusa la stipula dei contratti individuali integrativi di lavoro;</w:t>
            </w:r>
          </w:p>
          <w:p>
            <w:pPr>
              <w:pStyle w:val="NoSpacing"/>
              <w:numPr>
                <w:ilvl w:val="0"/>
                <w:numId w:val="2"/>
              </w:numPr>
              <w:spacing w:before="0" w:after="0"/>
              <w:jc w:val="both"/>
              <w:rPr>
                <w:lang w:val="it-IT"/>
              </w:rPr>
            </w:pPr>
            <w:r>
              <w:rPr>
                <w:rFonts w:eastAsia="Calibri" w:cs=""/>
                <w:kern w:val="0"/>
                <w:sz w:val="22"/>
                <w:szCs w:val="22"/>
                <w:lang w:val="it-IT" w:eastAsia="en-US" w:bidi="ar-SA"/>
              </w:rPr>
              <w:t>Tiene i rapporti con gli Ordini professionali, dando applicazione interna ai provvedimenti adottati dagli stessi che hanno dirette ripercussioni sul rapporto di lavoro (sospensioni per morosità, sospensioni per assenza di domicilio digitale, ecc…)</w:t>
            </w:r>
          </w:p>
          <w:p>
            <w:pPr>
              <w:pStyle w:val="NoSpacing"/>
              <w:numPr>
                <w:ilvl w:val="0"/>
                <w:numId w:val="2"/>
              </w:numPr>
              <w:spacing w:before="0" w:after="0"/>
              <w:jc w:val="both"/>
              <w:rPr>
                <w:lang w:val="it-IT"/>
              </w:rPr>
            </w:pPr>
            <w:r>
              <w:rPr>
                <w:rFonts w:eastAsia="Calibri" w:cs=""/>
                <w:kern w:val="0"/>
                <w:sz w:val="22"/>
                <w:szCs w:val="22"/>
                <w:lang w:val="it-IT" w:eastAsia="en-US" w:bidi="ar-SA"/>
              </w:rPr>
              <w:t>Applica e gestisce tutti gli istituti giuridici del rapporto di lavoro quali: tenuta e aggiornamento dei fascicoli personali, dotazioni organiche e centri di costo, rilascio certificazioni e tenuta documentazione connessa allo stato lavorativo, rilevazione delle presenze/assenze del personale, concessione part-time, aspettative, congedi, dimissioni volontarie, benefici legge 104, incarichi extra-istituzionali ed adempimenti conseguenti, gestione dei benefici inerenti al diritto allo studio, lavoro agile;</w:t>
            </w:r>
          </w:p>
          <w:p>
            <w:pPr>
              <w:pStyle w:val="NoSpacing"/>
              <w:numPr>
                <w:ilvl w:val="0"/>
                <w:numId w:val="2"/>
              </w:numPr>
              <w:spacing w:before="0" w:after="0"/>
              <w:jc w:val="both"/>
              <w:rPr>
                <w:lang w:val="it-IT"/>
              </w:rPr>
            </w:pPr>
            <w:r>
              <w:rPr>
                <w:rFonts w:eastAsia="Calibri" w:cs=""/>
                <w:kern w:val="0"/>
                <w:sz w:val="22"/>
                <w:szCs w:val="22"/>
                <w:lang w:val="it-IT" w:eastAsia="en-US" w:bidi="ar-SA"/>
              </w:rPr>
              <w:t>Effettua le procedure amministrative connesse alla gestione degli infortuni sul lavoro del personale dipendente, e collabora alla gestione delle procedure riferite alle denunce di malattia professionale del personale dipendente o ex-dipendente,</w:t>
            </w:r>
          </w:p>
          <w:p>
            <w:pPr>
              <w:pStyle w:val="NoSpacing"/>
              <w:numPr>
                <w:ilvl w:val="0"/>
                <w:numId w:val="2"/>
              </w:numPr>
              <w:spacing w:before="0" w:after="0"/>
              <w:jc w:val="both"/>
              <w:rPr>
                <w:lang w:val="it-IT"/>
              </w:rPr>
            </w:pPr>
            <w:r>
              <w:rPr>
                <w:rFonts w:eastAsia="Calibri" w:cs=""/>
                <w:kern w:val="0"/>
                <w:sz w:val="22"/>
                <w:szCs w:val="22"/>
                <w:lang w:val="it-IT" w:eastAsia="en-US" w:bidi="ar-SA"/>
              </w:rPr>
              <w:t>Gestisce rimborsi e riconoscimento orario in caso di missione, attività fuori sede e corsi di aggiornamento,</w:t>
            </w:r>
          </w:p>
          <w:p>
            <w:pPr>
              <w:pStyle w:val="NoSpacing"/>
              <w:numPr>
                <w:ilvl w:val="0"/>
                <w:numId w:val="2"/>
              </w:numPr>
              <w:spacing w:before="0" w:after="0"/>
              <w:jc w:val="both"/>
              <w:rPr>
                <w:lang w:val="it-IT"/>
              </w:rPr>
            </w:pPr>
            <w:r>
              <w:rPr>
                <w:rFonts w:eastAsia="Calibri" w:cs=""/>
                <w:kern w:val="0"/>
                <w:sz w:val="22"/>
                <w:szCs w:val="22"/>
                <w:lang w:val="it-IT" w:eastAsia="en-US" w:bidi="ar-SA"/>
              </w:rPr>
              <w:t>Gestisce le procedure di mobilità in entrata ed in uscita, i comandi e le assegnazioni provvisorie;</w:t>
            </w:r>
          </w:p>
          <w:p>
            <w:pPr>
              <w:pStyle w:val="NoSpacing"/>
              <w:numPr>
                <w:ilvl w:val="0"/>
                <w:numId w:val="2"/>
              </w:numPr>
              <w:spacing w:before="0" w:after="0"/>
              <w:jc w:val="both"/>
              <w:rPr>
                <w:lang w:val="it-IT"/>
              </w:rPr>
            </w:pPr>
            <w:r>
              <w:rPr>
                <w:rFonts w:eastAsia="Calibri" w:cs=""/>
                <w:kern w:val="0"/>
                <w:sz w:val="22"/>
                <w:szCs w:val="22"/>
                <w:lang w:val="it-IT" w:eastAsia="en-US" w:bidi="ar-SA"/>
              </w:rPr>
              <w:t>Gestisce le procedure di mobilità interna del personale tecnico e amministrativo;</w:t>
            </w:r>
          </w:p>
          <w:p>
            <w:pPr>
              <w:pStyle w:val="BodyText"/>
              <w:numPr>
                <w:ilvl w:val="0"/>
                <w:numId w:val="2"/>
              </w:numPr>
              <w:tabs>
                <w:tab w:val="clear" w:pos="708"/>
                <w:tab w:val="left" w:pos="883" w:leader="none"/>
              </w:tabs>
              <w:spacing w:lineRule="auto" w:line="252" w:before="14" w:after="0"/>
              <w:ind w:hanging="360" w:start="720" w:end="139"/>
              <w:jc w:val="both"/>
              <w:rPr>
                <w:rFonts w:ascii="Calibri" w:hAnsi="Calibri" w:asciiTheme="minorHAnsi" w:hAnsiTheme="minorHAnsi"/>
                <w:sz w:val="22"/>
                <w:szCs w:val="22"/>
                <w:lang w:val="it-IT"/>
              </w:rPr>
            </w:pPr>
            <w:r>
              <w:rPr>
                <w:rFonts w:cs="" w:ascii="Calibri" w:hAnsi="Calibri" w:asciiTheme="minorHAnsi" w:hAnsiTheme="minorHAnsi"/>
                <w:color w:val="212A26"/>
                <w:kern w:val="0"/>
                <w:sz w:val="22"/>
                <w:szCs w:val="22"/>
                <w:lang w:val="it-IT" w:eastAsia="en-US" w:bidi="ar-SA"/>
              </w:rPr>
              <w:t>Supporta la Direzione Aziendale nelle relazioni</w:t>
            </w:r>
            <w:r>
              <w:rPr>
                <w:rFonts w:cs="" w:ascii="Calibri" w:hAnsi="Calibri" w:asciiTheme="minorHAnsi" w:hAnsiTheme="minorHAnsi"/>
                <w:color w:val="212A26"/>
                <w:spacing w:val="8"/>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con</w:t>
            </w:r>
            <w:r>
              <w:rPr>
                <w:rFonts w:cs="" w:ascii="Calibri" w:hAnsi="Calibri" w:asciiTheme="minorHAnsi" w:hAnsiTheme="minorHAnsi"/>
                <w:color w:val="212A26"/>
                <w:spacing w:val="7"/>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le</w:t>
            </w:r>
            <w:r>
              <w:rPr>
                <w:rFonts w:cs="" w:ascii="Calibri" w:hAnsi="Calibri" w:asciiTheme="minorHAnsi" w:hAnsiTheme="minorHAnsi"/>
                <w:color w:val="212A26"/>
                <w:spacing w:val="55"/>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Organizzazioni</w:t>
            </w:r>
            <w:r>
              <w:rPr>
                <w:rFonts w:cs="" w:ascii="Calibri" w:hAnsi="Calibri" w:asciiTheme="minorHAnsi" w:hAnsiTheme="minorHAnsi"/>
                <w:color w:val="212A26"/>
                <w:spacing w:val="27"/>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Sindacali</w:t>
            </w:r>
            <w:r>
              <w:rPr>
                <w:rFonts w:cs="" w:ascii="Calibri" w:hAnsi="Calibri" w:asciiTheme="minorHAnsi" w:hAnsiTheme="minorHAnsi"/>
                <w:color w:val="212A26"/>
                <w:spacing w:val="11"/>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del</w:t>
            </w:r>
            <w:r>
              <w:rPr>
                <w:rFonts w:cs="" w:ascii="Calibri" w:hAnsi="Calibri" w:asciiTheme="minorHAnsi" w:hAnsiTheme="minorHAnsi"/>
                <w:color w:val="212A26"/>
                <w:spacing w:val="10"/>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personale dipendente; collabora</w:t>
            </w:r>
            <w:r>
              <w:rPr>
                <w:rFonts w:cs="" w:ascii="Calibri" w:hAnsi="Calibri" w:asciiTheme="minorHAnsi" w:hAnsiTheme="minorHAnsi"/>
                <w:color w:val="212A26"/>
                <w:spacing w:val="23"/>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alla</w:t>
            </w:r>
            <w:r>
              <w:rPr>
                <w:rFonts w:cs="" w:ascii="Calibri" w:hAnsi="Calibri" w:asciiTheme="minorHAnsi" w:hAnsiTheme="minorHAnsi"/>
                <w:color w:val="212A26"/>
                <w:spacing w:val="14"/>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contrattazione</w:t>
            </w:r>
            <w:r>
              <w:rPr>
                <w:rFonts w:cs="" w:ascii="Calibri" w:hAnsi="Calibri" w:asciiTheme="minorHAnsi" w:hAnsiTheme="minorHAnsi"/>
                <w:color w:val="212A26"/>
                <w:spacing w:val="25"/>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aziendale</w:t>
            </w:r>
            <w:r>
              <w:rPr>
                <w:rFonts w:cs="" w:ascii="Calibri" w:hAnsi="Calibri" w:asciiTheme="minorHAnsi" w:hAnsiTheme="minorHAnsi"/>
                <w:color w:val="212A26"/>
                <w:spacing w:val="22"/>
                <w:w w:val="104"/>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relativa</w:t>
            </w:r>
            <w:r>
              <w:rPr>
                <w:rFonts w:cs="" w:ascii="Calibri" w:hAnsi="Calibri" w:asciiTheme="minorHAnsi" w:hAnsiTheme="minorHAnsi"/>
                <w:color w:val="212A26"/>
                <w:spacing w:val="5"/>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alle</w:t>
            </w:r>
            <w:r>
              <w:rPr>
                <w:rFonts w:cs="" w:ascii="Calibri" w:hAnsi="Calibri" w:asciiTheme="minorHAnsi" w:hAnsiTheme="minorHAnsi"/>
                <w:color w:val="212A26"/>
                <w:spacing w:val="2"/>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aree negoziali del</w:t>
            </w:r>
            <w:r>
              <w:rPr>
                <w:rFonts w:cs="" w:ascii="Calibri" w:hAnsi="Calibri" w:asciiTheme="minorHAnsi" w:hAnsiTheme="minorHAnsi"/>
                <w:color w:val="212A26"/>
                <w:spacing w:val="2"/>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personale dipendente; supporta il corretto adempimento  degli obblighi di contrattazione/informativa sindacale</w:t>
            </w:r>
            <w:r>
              <w:rPr>
                <w:rFonts w:cs="" w:ascii="Calibri" w:hAnsi="Calibri" w:asciiTheme="minorHAnsi" w:hAnsiTheme="minorHAnsi"/>
                <w:color w:val="212A26"/>
                <w:spacing w:val="3"/>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e</w:t>
            </w:r>
            <w:r>
              <w:rPr>
                <w:rFonts w:cs="" w:ascii="Calibri" w:hAnsi="Calibri" w:asciiTheme="minorHAnsi" w:hAnsiTheme="minorHAnsi"/>
                <w:color w:val="212A26"/>
                <w:spacing w:val="4"/>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presidia</w:t>
            </w:r>
            <w:r>
              <w:rPr>
                <w:rFonts w:cs="" w:ascii="Calibri" w:hAnsi="Calibri" w:asciiTheme="minorHAnsi" w:hAnsiTheme="minorHAnsi"/>
                <w:color w:val="212A26"/>
                <w:spacing w:val="17"/>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il</w:t>
            </w:r>
            <w:r>
              <w:rPr>
                <w:rFonts w:cs="" w:ascii="Calibri" w:hAnsi="Calibri" w:asciiTheme="minorHAnsi" w:hAnsiTheme="minorHAnsi"/>
                <w:color w:val="212A26"/>
                <w:spacing w:val="51"/>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rispetto</w:t>
            </w:r>
            <w:r>
              <w:rPr>
                <w:rFonts w:cs="" w:ascii="Calibri" w:hAnsi="Calibri" w:asciiTheme="minorHAnsi" w:hAnsiTheme="minorHAnsi"/>
                <w:color w:val="212A26"/>
                <w:spacing w:val="1"/>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e</w:t>
            </w:r>
            <w:r>
              <w:rPr>
                <w:rFonts w:cs="" w:ascii="Calibri" w:hAnsi="Calibri" w:asciiTheme="minorHAnsi" w:hAnsiTheme="minorHAnsi"/>
                <w:color w:val="212A26"/>
                <w:spacing w:val="57"/>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la</w:t>
            </w:r>
            <w:r>
              <w:rPr>
                <w:rFonts w:cs="" w:ascii="Calibri" w:hAnsi="Calibri" w:asciiTheme="minorHAnsi" w:hAnsiTheme="minorHAnsi"/>
                <w:color w:val="212A26"/>
                <w:spacing w:val="50"/>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congruità</w:t>
            </w:r>
            <w:r>
              <w:rPr>
                <w:rFonts w:cs="" w:ascii="Calibri" w:hAnsi="Calibri" w:asciiTheme="minorHAnsi" w:hAnsiTheme="minorHAnsi"/>
                <w:color w:val="212A26"/>
                <w:spacing w:val="12"/>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 xml:space="preserve">degli accordi integrativi </w:t>
            </w:r>
            <w:r>
              <w:rPr>
                <w:rFonts w:cs="" w:ascii="Calibri" w:hAnsi="Calibri" w:asciiTheme="minorHAnsi" w:hAnsiTheme="minorHAnsi"/>
                <w:kern w:val="0"/>
                <w:sz w:val="22"/>
                <w:szCs w:val="22"/>
                <w:lang w:val="it-IT" w:eastAsia="en-US" w:bidi="ar-SA"/>
              </w:rPr>
              <w:t xml:space="preserve">con le risorse dei </w:t>
            </w:r>
            <w:r>
              <w:rPr>
                <w:rFonts w:cs="" w:ascii="Calibri" w:hAnsi="Calibri" w:asciiTheme="minorHAnsi" w:hAnsiTheme="minorHAnsi"/>
                <w:color w:val="212A26"/>
                <w:kern w:val="0"/>
                <w:sz w:val="22"/>
                <w:szCs w:val="22"/>
                <w:lang w:val="it-IT" w:eastAsia="en-US" w:bidi="ar-SA"/>
              </w:rPr>
              <w:t>fondi</w:t>
            </w:r>
            <w:r>
              <w:rPr>
                <w:rFonts w:cs="" w:ascii="Calibri" w:hAnsi="Calibri" w:asciiTheme="minorHAnsi" w:hAnsiTheme="minorHAnsi"/>
                <w:color w:val="212A26"/>
                <w:spacing w:val="9"/>
                <w:kern w:val="0"/>
                <w:sz w:val="22"/>
                <w:szCs w:val="22"/>
                <w:lang w:val="it-IT" w:eastAsia="en-US" w:bidi="ar-SA"/>
              </w:rPr>
              <w:t xml:space="preserve"> </w:t>
            </w:r>
            <w:r>
              <w:rPr>
                <w:rFonts w:cs="" w:ascii="Calibri" w:hAnsi="Calibri" w:asciiTheme="minorHAnsi" w:hAnsiTheme="minorHAnsi"/>
                <w:color w:val="212A26"/>
                <w:kern w:val="0"/>
                <w:sz w:val="22"/>
                <w:szCs w:val="22"/>
                <w:lang w:val="it-IT" w:eastAsia="en-US" w:bidi="ar-SA"/>
              </w:rPr>
              <w:t>contrattuali, determina il monte ore dei permessi sindacali e gestisce gli adempimenti connessi, supporta la Direzione nella gestione delle procedure periodiche di elezione della RSU ;</w:t>
            </w:r>
          </w:p>
          <w:p>
            <w:pPr>
              <w:pStyle w:val="BodyText"/>
              <w:numPr>
                <w:ilvl w:val="0"/>
                <w:numId w:val="2"/>
              </w:numPr>
              <w:tabs>
                <w:tab w:val="clear" w:pos="708"/>
                <w:tab w:val="left" w:pos="883" w:leader="none"/>
              </w:tabs>
              <w:spacing w:lineRule="auto" w:line="252" w:before="14" w:after="0"/>
              <w:ind w:hanging="360" w:start="720" w:end="139"/>
              <w:jc w:val="both"/>
              <w:rPr>
                <w:rFonts w:ascii="Calibri" w:hAnsi="Calibri" w:asciiTheme="minorHAnsi" w:hAnsiTheme="minorHAnsi"/>
                <w:sz w:val="22"/>
                <w:szCs w:val="22"/>
                <w:lang w:val="it-IT"/>
              </w:rPr>
            </w:pPr>
            <w:r>
              <w:rPr>
                <w:rFonts w:cs="" w:ascii="Calibri" w:hAnsi="Calibri" w:asciiTheme="minorHAnsi" w:hAnsiTheme="minorHAnsi"/>
                <w:color w:val="212A26"/>
                <w:kern w:val="0"/>
                <w:sz w:val="22"/>
                <w:szCs w:val="22"/>
                <w:lang w:val="it-IT" w:eastAsia="en-US" w:bidi="ar-SA"/>
              </w:rPr>
              <w:t>Collabora con l’ufficio legale alla gestione del contenzioso in materia di personale e applicazione istituti e benefici giuridici, e gestisce in autonomia il precontenzioso;</w:t>
            </w:r>
          </w:p>
          <w:p>
            <w:pPr>
              <w:pStyle w:val="BodyText"/>
              <w:numPr>
                <w:ilvl w:val="0"/>
                <w:numId w:val="2"/>
              </w:numPr>
              <w:tabs>
                <w:tab w:val="clear" w:pos="708"/>
                <w:tab w:val="left" w:pos="883" w:leader="none"/>
              </w:tabs>
              <w:spacing w:lineRule="auto" w:line="252" w:before="14" w:after="0"/>
              <w:ind w:hanging="360" w:start="720" w:end="139"/>
              <w:jc w:val="both"/>
              <w:rPr>
                <w:lang w:val="it-IT"/>
              </w:rPr>
            </w:pPr>
            <w:r>
              <w:rPr>
                <w:rFonts w:cs="" w:ascii="Calibri" w:hAnsi="Calibri" w:asciiTheme="minorHAnsi" w:hAnsiTheme="minorHAnsi"/>
                <w:color w:val="212A26"/>
                <w:kern w:val="0"/>
                <w:sz w:val="22"/>
                <w:szCs w:val="22"/>
                <w:lang w:val="it-IT" w:eastAsia="en-US" w:bidi="ar-SA"/>
              </w:rPr>
              <w:t>Partecipa all’Osservatorio Aziendale istituito per collaborare con il Disability Manager;</w:t>
            </w:r>
          </w:p>
          <w:p>
            <w:pPr>
              <w:pStyle w:val="NoSpacing"/>
              <w:numPr>
                <w:ilvl w:val="0"/>
                <w:numId w:val="2"/>
              </w:numPr>
              <w:spacing w:before="0" w:after="0"/>
              <w:jc w:val="both"/>
              <w:rPr>
                <w:lang w:val="it-IT"/>
              </w:rPr>
            </w:pPr>
            <w:r>
              <w:rPr>
                <w:rFonts w:eastAsia="Calibri" w:cs=""/>
                <w:kern w:val="0"/>
                <w:sz w:val="22"/>
                <w:szCs w:val="22"/>
                <w:lang w:val="it-IT" w:eastAsia="en-US" w:bidi="ar-SA"/>
              </w:rPr>
              <w:t>Gestisce le pratiche previdenziali del personale dipendente (pensionamenti, riscatti, ricongiunzioni) ivi compresa la gestione delle domande di prestiti, cessioni del quinto e mutui erogati dall’Istituto di Previdenza;</w:t>
            </w:r>
          </w:p>
          <w:p>
            <w:pPr>
              <w:pStyle w:val="NoSpacing"/>
              <w:spacing w:before="0" w:after="0"/>
              <w:jc w:val="both"/>
              <w:rPr>
                <w:lang w:val="it-IT"/>
              </w:rPr>
            </w:pPr>
            <w:r>
              <w:rPr>
                <w:rFonts w:eastAsia="Calibri" w:cs=""/>
                <w:kern w:val="0"/>
                <w:sz w:val="22"/>
                <w:szCs w:val="22"/>
                <w:lang w:val="it-IT" w:eastAsia="en-US" w:bidi="ar-SA"/>
              </w:rPr>
            </w:r>
          </w:p>
          <w:p>
            <w:pPr>
              <w:pStyle w:val="Normal"/>
              <w:widowControl/>
              <w:tabs>
                <w:tab w:val="clear" w:pos="708"/>
                <w:tab w:val="left" w:pos="5330" w:leader="none"/>
              </w:tabs>
              <w:spacing w:lineRule="auto" w:line="240" w:before="0" w:after="0"/>
              <w:jc w:val="both"/>
              <w:rPr>
                <w:b/>
                <w:u w:val="single"/>
              </w:rPr>
            </w:pPr>
            <w:r>
              <w:rPr>
                <w:rFonts w:eastAsia="Calibri" w:cs=""/>
                <w:b/>
                <w:kern w:val="0"/>
                <w:sz w:val="22"/>
                <w:szCs w:val="22"/>
                <w:u w:val="single"/>
                <w:lang w:val="it-IT" w:eastAsia="en-US" w:bidi="ar-SA"/>
              </w:rPr>
              <w:t>SETTORE TRATTAMENTO ECONOMICO /FISCALE/PREVIDENZIALE</w:t>
            </w:r>
          </w:p>
          <w:p>
            <w:pPr>
              <w:pStyle w:val="NoSpacing"/>
              <w:spacing w:before="0" w:after="0"/>
              <w:jc w:val="both"/>
              <w:rPr>
                <w:lang w:val="it-IT"/>
              </w:rPr>
            </w:pPr>
            <w:r>
              <w:rPr>
                <w:rFonts w:eastAsia="Calibri" w:cs=""/>
                <w:kern w:val="0"/>
                <w:sz w:val="22"/>
                <w:szCs w:val="22"/>
                <w:lang w:val="it-IT" w:eastAsia="en-US" w:bidi="ar-SA"/>
              </w:rPr>
            </w:r>
          </w:p>
          <w:p>
            <w:pPr>
              <w:pStyle w:val="NoSpacing"/>
              <w:numPr>
                <w:ilvl w:val="0"/>
                <w:numId w:val="2"/>
              </w:numPr>
              <w:spacing w:before="0" w:after="0"/>
              <w:jc w:val="both"/>
              <w:rPr>
                <w:lang w:val="it-IT"/>
              </w:rPr>
            </w:pPr>
            <w:r>
              <w:rPr>
                <w:rFonts w:eastAsia="Calibri" w:cs=""/>
                <w:kern w:val="0"/>
                <w:sz w:val="22"/>
                <w:szCs w:val="22"/>
                <w:lang w:val="it-IT" w:eastAsia="en-US" w:bidi="ar-SA"/>
              </w:rPr>
              <w:t>Applica e gestisce tutti gli istituti di carattere economico relativi al rapporto di lavoro del personale dipendente compresi gli incarichi libero professionali.</w:t>
            </w:r>
          </w:p>
          <w:p>
            <w:pPr>
              <w:pStyle w:val="NoSpacing"/>
              <w:numPr>
                <w:ilvl w:val="0"/>
                <w:numId w:val="2"/>
              </w:numPr>
              <w:spacing w:before="0" w:after="0"/>
              <w:jc w:val="both"/>
              <w:rPr>
                <w:lang w:val="it-IT"/>
              </w:rPr>
            </w:pPr>
            <w:r>
              <w:rPr>
                <w:rFonts w:eastAsia="Calibri" w:cs=""/>
                <w:kern w:val="0"/>
                <w:sz w:val="22"/>
                <w:szCs w:val="22"/>
                <w:lang w:val="it-IT" w:eastAsia="en-US" w:bidi="ar-SA"/>
              </w:rPr>
              <w:t>Eroga il trattamento retributivo fondamentale e accessorio, progressioni di carriera, differenziali economici, incarichi dirigenziali e di funzione, incentivi legati alla performance, compensi per libera professione e attività aggiuntive;</w:t>
            </w:r>
          </w:p>
          <w:p>
            <w:pPr>
              <w:pStyle w:val="NoSpacing"/>
              <w:numPr>
                <w:ilvl w:val="0"/>
                <w:numId w:val="2"/>
              </w:numPr>
              <w:spacing w:before="0" w:after="0"/>
              <w:jc w:val="both"/>
              <w:rPr>
                <w:lang w:val="it-IT"/>
              </w:rPr>
            </w:pPr>
            <w:r>
              <w:rPr>
                <w:rFonts w:eastAsia="Calibri" w:cs=""/>
                <w:kern w:val="0"/>
                <w:sz w:val="22"/>
                <w:szCs w:val="22"/>
                <w:lang w:val="it-IT" w:eastAsia="en-US" w:bidi="ar-SA"/>
              </w:rPr>
              <w:t>Gestisce le convenzioni per le delegazioni di pagamento,le pratiche di pignoramento e di cessione del quinto stipendiale ;</w:t>
            </w:r>
          </w:p>
          <w:p>
            <w:pPr>
              <w:pStyle w:val="NoSpacing"/>
              <w:numPr>
                <w:ilvl w:val="0"/>
                <w:numId w:val="2"/>
              </w:numPr>
              <w:spacing w:before="0" w:after="0"/>
              <w:jc w:val="both"/>
              <w:rPr>
                <w:lang w:val="it-IT"/>
              </w:rPr>
            </w:pPr>
            <w:r>
              <w:rPr>
                <w:rFonts w:eastAsia="Calibri" w:cs=""/>
                <w:kern w:val="0"/>
                <w:sz w:val="22"/>
                <w:szCs w:val="22"/>
                <w:lang w:val="it-IT" w:eastAsia="en-US" w:bidi="ar-SA"/>
              </w:rPr>
              <w:t>Provvede alla costituzione, gestione e rendicontazione dell’utilizzo dei fondi aziendali delle tre Aree negoziali;f</w:t>
            </w:r>
          </w:p>
          <w:p>
            <w:pPr>
              <w:pStyle w:val="NoSpacing"/>
              <w:numPr>
                <w:ilvl w:val="0"/>
                <w:numId w:val="2"/>
              </w:numPr>
              <w:spacing w:before="0" w:after="0"/>
              <w:jc w:val="both"/>
              <w:rPr>
                <w:lang w:val="it-IT"/>
              </w:rPr>
            </w:pPr>
            <w:r>
              <w:rPr>
                <w:rFonts w:eastAsia="Calibri" w:cs=""/>
                <w:kern w:val="0"/>
                <w:sz w:val="22"/>
                <w:szCs w:val="22"/>
                <w:lang w:val="it-IT" w:eastAsia="en-US" w:bidi="ar-SA"/>
              </w:rPr>
              <w:t>Supporta l’ufficio competente alla gestione del personale convenzionato ( SUMAI e altre Convenzioni) per l’erogazione delle competenze stipendiali.</w:t>
            </w:r>
          </w:p>
          <w:p>
            <w:pPr>
              <w:pStyle w:val="NoSpacing"/>
              <w:numPr>
                <w:ilvl w:val="0"/>
                <w:numId w:val="2"/>
              </w:numPr>
              <w:spacing w:before="0" w:after="0"/>
              <w:jc w:val="both"/>
              <w:rPr>
                <w:lang w:val="it-IT"/>
              </w:rPr>
            </w:pPr>
            <w:r>
              <w:rPr>
                <w:rFonts w:eastAsia="Calibri" w:cs=""/>
                <w:kern w:val="0"/>
                <w:sz w:val="22"/>
                <w:szCs w:val="22"/>
                <w:lang w:val="it-IT" w:eastAsia="en-US" w:bidi="ar-SA"/>
              </w:rPr>
              <w:t>Gestisce gli istituti di carattere fiscale e previdenziale legati al rapporto di lavoro quali: denunce analitiche mensili all’INPS (DMA), determinazione imponibili previdenziali e assistenziali (INPS, INPDAP,CPDEL,CPS/TFS/TFR), Fondo Perseo, determinazione imponibili IRPEF, addizionali regionali e comunali, conguagli fiscali, detrazioni per carichi di famiglia, bonus fiscali e previdenziali, predisposizione CUD, pagamento premio INAIL, predisposizione tabelle economiche per Ragioneria dello Stato (RGS)</w:t>
            </w:r>
          </w:p>
          <w:p>
            <w:pPr>
              <w:pStyle w:val="NoSpacing"/>
              <w:numPr>
                <w:ilvl w:val="0"/>
                <w:numId w:val="2"/>
              </w:numPr>
              <w:spacing w:before="0" w:after="0"/>
              <w:jc w:val="both"/>
              <w:rPr>
                <w:lang w:val="it-IT"/>
              </w:rPr>
            </w:pPr>
            <w:r>
              <w:rPr>
                <w:rFonts w:eastAsia="Calibri" w:cs=""/>
                <w:kern w:val="0"/>
                <w:sz w:val="22"/>
                <w:szCs w:val="22"/>
                <w:lang w:val="it-IT" w:eastAsia="en-US" w:bidi="ar-SA"/>
              </w:rPr>
              <w:t>Cura la progettazione e il governo dei processi relativi al sistema premiante e incentivante (performance) e il coordinamento dell'attività degli organismi collegiali deputati (OIV);</w:t>
            </w:r>
          </w:p>
          <w:p>
            <w:pPr>
              <w:pStyle w:val="NoSpacing"/>
              <w:numPr>
                <w:ilvl w:val="0"/>
                <w:numId w:val="2"/>
              </w:numPr>
              <w:spacing w:before="0" w:after="0"/>
              <w:jc w:val="both"/>
              <w:rPr>
                <w:lang w:val="it-IT"/>
              </w:rPr>
            </w:pPr>
            <w:r>
              <w:rPr>
                <w:rFonts w:eastAsia="Calibri" w:cs="" w:ascii="Calibri" w:hAnsi="Calibri"/>
                <w:color w:val="000000"/>
                <w:kern w:val="0"/>
                <w:sz w:val="22"/>
                <w:szCs w:val="22"/>
                <w:lang w:val="it-IT" w:eastAsia="en-US" w:bidi="ar-SA"/>
              </w:rPr>
              <w:t>Gestisce, in ordine al personale dipendente, l'assolvimento del debito informativo istituzionale sia interno che esterno (Flussi/Statistiche/monitoraggi mensili – trimestrali - annuali richiesti dalla “Regione”, dal “Ministero della Salute” e dal “Ministero del Lavoro e Politiche Sociali”).</w:t>
            </w:r>
          </w:p>
          <w:p>
            <w:pPr>
              <w:pStyle w:val="NoSpacing"/>
              <w:numPr>
                <w:ilvl w:val="0"/>
                <w:numId w:val="2"/>
              </w:numPr>
              <w:spacing w:before="0" w:after="0"/>
              <w:jc w:val="both"/>
              <w:rPr>
                <w:lang w:val="it-IT"/>
              </w:rPr>
            </w:pPr>
            <w:r>
              <w:rPr>
                <w:rFonts w:eastAsia="Calibri" w:cs="" w:ascii="Calibri" w:hAnsi="Calibri"/>
                <w:color w:val="000000"/>
                <w:kern w:val="0"/>
                <w:sz w:val="22"/>
                <w:szCs w:val="22"/>
                <w:lang w:val="it-IT" w:eastAsia="en-US" w:bidi="ar-SA"/>
              </w:rPr>
              <w:t>Elabora il Conto annuale del personale per la Ragioneria Generale dello stato parte economica , tabelle di spesa e della contrattazione integrativa.</w:t>
            </w:r>
          </w:p>
          <w:p>
            <w:pPr>
              <w:pStyle w:val="NoSpacing"/>
              <w:numPr>
                <w:ilvl w:val="0"/>
                <w:numId w:val="2"/>
              </w:numPr>
              <w:spacing w:before="0" w:after="0"/>
              <w:jc w:val="both"/>
              <w:rPr>
                <w:lang w:val="it-IT"/>
              </w:rPr>
            </w:pPr>
            <w:r>
              <w:rPr>
                <w:rFonts w:eastAsia="Calibri" w:cs="" w:ascii="Calibri" w:hAnsi="Calibri"/>
                <w:color w:val="000000"/>
                <w:kern w:val="0"/>
                <w:sz w:val="22"/>
                <w:szCs w:val="22"/>
                <w:lang w:val="it-IT" w:eastAsia="en-US" w:bidi="ar-SA"/>
              </w:rPr>
              <w:t>Predispone le rendicontazioni , i monitoraggi , le previsioni sul costo del personale per le verifiche da parte della S.C. Gestione Risorse Economiche e Finanziarie del rispetto del tetto di spesa fissato annualmente da regione Liguria.</w:t>
            </w:r>
          </w:p>
        </w:tc>
      </w:tr>
    </w:tbl>
    <w:p>
      <w:pPr>
        <w:pStyle w:val="Normal"/>
        <w:jc w:val="both"/>
        <w:rPr/>
      </w:pPr>
      <w:r>
        <w:rPr/>
      </w:r>
    </w:p>
    <w:p>
      <w:pPr>
        <w:pStyle w:val="Normal"/>
        <w:jc w:val="both"/>
        <w:rPr/>
      </w:pPr>
      <w:hyperlink r:id="rId2">
        <w:r>
          <w:rPr>
            <w:rStyle w:val="Hyperlink"/>
          </w:rPr>
          <w:t>Barbara.graverini@asl5.liguria.it</w:t>
        </w:r>
      </w:hyperlink>
      <w:r>
        <w:rPr/>
        <w:t xml:space="preserve">  Direttore struttura tel. 0187/533.916</w:t>
      </w:r>
    </w:p>
    <w:p>
      <w:pPr>
        <w:pStyle w:val="Normal"/>
        <w:jc w:val="both"/>
        <w:rPr/>
      </w:pPr>
      <w:hyperlink r:id="rId3">
        <w:r>
          <w:rPr>
            <w:rStyle w:val="Hyperlink"/>
          </w:rPr>
          <w:t>Emanuela.cappelli@asl5.liguria.it</w:t>
        </w:r>
      </w:hyperlink>
      <w:r>
        <w:rPr/>
        <w:t xml:space="preserve"> Dirigente settore Concorsi-Assunzioni tel. 0187/533.543</w:t>
      </w:r>
    </w:p>
    <w:p>
      <w:pPr>
        <w:pStyle w:val="Normal"/>
        <w:spacing w:before="0" w:after="200"/>
        <w:jc w:val="both"/>
        <w:rPr/>
      </w:pPr>
      <w:hyperlink r:id="rId4">
        <w:r>
          <w:rPr>
            <w:rStyle w:val="Hyperlink"/>
          </w:rPr>
          <w:t>Alessandra.olivieri@asl5.liguria.it</w:t>
        </w:r>
      </w:hyperlink>
      <w:r>
        <w:rPr/>
        <w:t xml:space="preserve"> Dirigente settore giuridico  tel.0187/535.771</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312797684"/>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312797684"/>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878205" cy="3962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878205" cy="396240"/>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878205" cy="39624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tretch>
                    <a:fillRect/>
                  </a:stretch>
                </pic:blipFill>
                <pic:spPr bwMode="auto">
                  <a:xfrm>
                    <a:off x="0" y="0"/>
                    <a:ext cx="878205" cy="396240"/>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1238f9"/>
    <w:rPr/>
  </w:style>
  <w:style w:type="character" w:styleId="PidipaginaCarattere" w:customStyle="1">
    <w:name w:val="Piè di pagina Carattere"/>
    <w:basedOn w:val="DefaultParagraphFont"/>
    <w:uiPriority w:val="99"/>
    <w:qFormat/>
    <w:rsid w:val="001238f9"/>
    <w:rPr/>
  </w:style>
  <w:style w:type="character" w:styleId="TestofumettoCarattere" w:customStyle="1">
    <w:name w:val="Testo fumetto Carattere"/>
    <w:basedOn w:val="DefaultParagraphFont"/>
    <w:link w:val="BalloonText"/>
    <w:uiPriority w:val="99"/>
    <w:semiHidden/>
    <w:qFormat/>
    <w:rsid w:val="001238f9"/>
    <w:rPr>
      <w:rFonts w:ascii="Tahoma" w:hAnsi="Tahoma" w:cs="Tahoma"/>
      <w:sz w:val="16"/>
      <w:szCs w:val="16"/>
    </w:rPr>
  </w:style>
  <w:style w:type="character" w:styleId="CorpotestoCarattere" w:customStyle="1">
    <w:name w:val="Corpo testo Carattere"/>
    <w:basedOn w:val="DefaultParagraphFont"/>
    <w:uiPriority w:val="1"/>
    <w:qFormat/>
    <w:rsid w:val="00c64f37"/>
    <w:rPr>
      <w:rFonts w:ascii="Arial" w:hAnsi="Arial" w:eastAsia="Arial"/>
      <w:sz w:val="21"/>
      <w:szCs w:val="21"/>
      <w:lang w:val="en-US"/>
    </w:rPr>
  </w:style>
  <w:style w:type="character" w:styleId="Hyperlink">
    <w:name w:val="Hyperlink"/>
    <w:basedOn w:val="DefaultParagraphFont"/>
    <w:uiPriority w:val="99"/>
    <w:unhideWhenUsed/>
    <w:rsid w:val="00867696"/>
    <w:rPr>
      <w:color w:themeColor="hyperlink"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1"/>
    <w:qFormat/>
    <w:rsid w:val="00c64f37"/>
    <w:pPr>
      <w:widowControl w:val="false"/>
      <w:spacing w:lineRule="auto" w:line="240" w:before="0" w:after="0"/>
      <w:ind w:start="120"/>
    </w:pPr>
    <w:rPr>
      <w:rFonts w:ascii="Arial" w:hAnsi="Arial" w:eastAsia="Arial"/>
      <w:sz w:val="21"/>
      <w:szCs w:val="21"/>
      <w:lang w:val="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1238f9"/>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1238f9"/>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1238f9"/>
    <w:pPr>
      <w:spacing w:lineRule="auto" w:line="240" w:before="0" w:after="0"/>
    </w:pPr>
    <w:rPr>
      <w:rFonts w:ascii="Tahoma" w:hAnsi="Tahoma" w:cs="Tahoma"/>
      <w:sz w:val="16"/>
      <w:szCs w:val="16"/>
    </w:rPr>
  </w:style>
  <w:style w:type="paragraph" w:styleId="ListParagraph">
    <w:name w:val="List Paragraph"/>
    <w:basedOn w:val="Normal"/>
    <w:uiPriority w:val="34"/>
    <w:qFormat/>
    <w:rsid w:val="00d05abd"/>
    <w:pPr>
      <w:spacing w:before="0" w:after="200"/>
      <w:ind w:start="720"/>
      <w:contextualSpacing/>
    </w:pPr>
    <w:rPr/>
  </w:style>
  <w:style w:type="paragraph" w:styleId="NoSpacing">
    <w:name w:val="No Spacing"/>
    <w:uiPriority w:val="1"/>
    <w:qFormat/>
    <w:rsid w:val="00064715"/>
    <w:pPr>
      <w:widowControl w:val="fals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1238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arbara.graverini@asl5.liguria.it" TargetMode="External"/><Relationship Id="rId3" Type="http://schemas.openxmlformats.org/officeDocument/2006/relationships/hyperlink" Target="mailto:Emanuela.cappelli@asl5.liguria.it" TargetMode="External"/><Relationship Id="rId4" Type="http://schemas.openxmlformats.org/officeDocument/2006/relationships/hyperlink" Target="mailto:Alessandra.olivieri@asl5.liguria.i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148</TotalTime>
  <Application>LibreOffice/25.8.6.2$Windows_X86_64 LibreOffice_project/b4b39682cd9868fa725bc664aff94278d315bd04</Application>
  <AppVersion>15.0000</AppVersion>
  <Pages>3</Pages>
  <Words>1096</Words>
  <Characters>7230</Characters>
  <CharactersWithSpaces>8248</CharactersWithSpaces>
  <Paragraphs>52</Paragraphs>
  <Company>ASL5 La Spezia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2024-09-20T06:27:00Z</dcterms:created>
  <dc:creator>08664</dc:creator>
  <dc:description/>
  <dc:language>it-IT</dc:language>
  <cp:lastModifiedBy>03724</cp:lastModifiedBy>
  <cp:lastPrinted>2024-09-23T15:59:00Z</cp:lastPrinted>
  <dcterms:modified xsi:type="dcterms:W3CDTF">2026-06-15T14:26:00Z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